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AB" w:rsidRDefault="001715AB" w:rsidP="001715AB">
      <w:pPr>
        <w:pStyle w:val="NormalnyWeb"/>
        <w:spacing w:before="0" w:beforeAutospacing="0" w:after="208" w:afterAutospacing="0"/>
        <w:rPr>
          <w:rStyle w:val="Pogrubienie"/>
          <w:rFonts w:ascii="&amp;quot" w:hAnsi="&amp;quot"/>
          <w:color w:val="212529"/>
          <w:sz w:val="17"/>
          <w:szCs w:val="17"/>
        </w:rPr>
      </w:pPr>
      <w:r>
        <w:rPr>
          <w:rFonts w:ascii="&amp;quot" w:hAnsi="&amp;quot"/>
          <w:noProof/>
          <w:color w:val="0056B3"/>
          <w:sz w:val="21"/>
          <w:szCs w:val="21"/>
        </w:rPr>
        <w:drawing>
          <wp:inline distT="0" distB="0" distL="0" distR="0">
            <wp:extent cx="3336290" cy="2199640"/>
            <wp:effectExtent l="19050" t="0" r="0" b="0"/>
            <wp:docPr id="1" name="Obraz 1" descr="A ja czeka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ja czeka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AB" w:rsidRPr="00DC4B7E" w:rsidRDefault="001715AB" w:rsidP="001715AB">
      <w:pPr>
        <w:pStyle w:val="NormalnyWeb"/>
        <w:spacing w:before="0" w:beforeAutospacing="0" w:after="208" w:afterAutospacing="0"/>
        <w:rPr>
          <w:rStyle w:val="Pogrubienie"/>
          <w:rFonts w:ascii="&amp;quot" w:hAnsi="&amp;quot"/>
          <w:b w:val="0"/>
          <w:bCs w:val="0"/>
          <w:color w:val="212529"/>
          <w:sz w:val="23"/>
          <w:szCs w:val="23"/>
        </w:rPr>
      </w:pPr>
      <w:r>
        <w:rPr>
          <w:rStyle w:val="Pogrubienie"/>
          <w:rFonts w:ascii="&amp;quot" w:hAnsi="&amp;quot"/>
          <w:color w:val="212529"/>
          <w:sz w:val="17"/>
          <w:szCs w:val="17"/>
        </w:rPr>
        <w:t>A ja czekam…</w:t>
      </w:r>
      <w:r>
        <w:rPr>
          <w:rFonts w:ascii="&amp;quot" w:hAnsi="&amp;quot"/>
          <w:b/>
          <w:bCs/>
          <w:color w:val="212529"/>
          <w:sz w:val="17"/>
          <w:szCs w:val="17"/>
        </w:rPr>
        <w:br/>
      </w:r>
      <w:r>
        <w:rPr>
          <w:rFonts w:ascii="&amp;quot" w:hAnsi="&amp;quot"/>
          <w:color w:val="212529"/>
          <w:sz w:val="17"/>
          <w:szCs w:val="17"/>
        </w:rPr>
        <w:t xml:space="preserve">tekst </w:t>
      </w:r>
      <w:proofErr w:type="spellStart"/>
      <w:r>
        <w:rPr>
          <w:rFonts w:ascii="&amp;quot" w:hAnsi="&amp;quot"/>
          <w:color w:val="212529"/>
          <w:sz w:val="17"/>
          <w:szCs w:val="17"/>
        </w:rPr>
        <w:t>Davide</w:t>
      </w:r>
      <w:proofErr w:type="spellEnd"/>
      <w:r>
        <w:rPr>
          <w:rFonts w:ascii="&amp;quot" w:hAnsi="&amp;quot"/>
          <w:color w:val="212529"/>
          <w:sz w:val="17"/>
          <w:szCs w:val="17"/>
        </w:rPr>
        <w:t xml:space="preserve"> Cali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&amp;quot" w:hAnsi="&amp;quot"/>
          <w:color w:val="212529"/>
          <w:sz w:val="17"/>
          <w:szCs w:val="17"/>
        </w:rPr>
        <w:t xml:space="preserve">ilustracje </w:t>
      </w:r>
      <w:proofErr w:type="spellStart"/>
      <w:r>
        <w:rPr>
          <w:rFonts w:ascii="&amp;quot" w:hAnsi="&amp;quot"/>
          <w:color w:val="212529"/>
          <w:sz w:val="17"/>
          <w:szCs w:val="17"/>
        </w:rPr>
        <w:t>Serge</w:t>
      </w:r>
      <w:proofErr w:type="spellEnd"/>
      <w:r>
        <w:rPr>
          <w:rFonts w:ascii="&amp;quot" w:hAnsi="&amp;quot"/>
          <w:color w:val="212529"/>
          <w:sz w:val="17"/>
          <w:szCs w:val="17"/>
        </w:rPr>
        <w:t xml:space="preserve"> Bloch</w:t>
      </w:r>
      <w:r>
        <w:rPr>
          <w:rFonts w:ascii="&amp;quot" w:hAnsi="&amp;quot"/>
          <w:color w:val="212529"/>
          <w:sz w:val="23"/>
          <w:szCs w:val="23"/>
        </w:rPr>
        <w:br/>
      </w:r>
      <w:r>
        <w:rPr>
          <w:rFonts w:ascii="&amp;quot" w:hAnsi="&amp;quot"/>
          <w:color w:val="212529"/>
          <w:sz w:val="17"/>
          <w:szCs w:val="17"/>
        </w:rPr>
        <w:t>tłumaczenie Julian Kutyła</w:t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rStyle w:val="Pogrubienie"/>
          <w:rFonts w:ascii="&amp;quot" w:hAnsi="&amp;quot"/>
          <w:color w:val="212529"/>
          <w:sz w:val="23"/>
          <w:szCs w:val="23"/>
        </w:rPr>
        <w:t>Czekam… przez całe życie</w:t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rFonts w:ascii="&amp;quot" w:hAnsi="&amp;quot"/>
          <w:color w:val="212529"/>
          <w:sz w:val="23"/>
          <w:szCs w:val="23"/>
        </w:rPr>
        <w:t>W tej książce odnajdzie się każdy – od chłopca, który czeka „… na buziaka przed snem”, po dziadka czekającego, „że ktoś zadzwoni do drzwi”. Bo w każdym wieku na coś czekamy. I właśnie „czekanie” może stać się kluczem do zrozumienia drugiego człowieka.</w:t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rFonts w:ascii="&amp;quot" w:hAnsi="&amp;quot"/>
          <w:color w:val="212529"/>
          <w:sz w:val="23"/>
          <w:szCs w:val="23"/>
        </w:rPr>
        <w:t>Trudno o książkę, która by lepiej uczyła empatii. A przecież to tylko króciutkie, proste zdania i równie oszczędne rysunki. Jednak patrząc na czerwoną nić – łączącą kolejne etapy życia – nie sposób się nie wzruszyć. I nie zadać sobie najważniejszych pytań: na co czekają moi bliscy? A na co czekam dziś ja? Odpowiedzi będą się zmieniać jak jej mały, a z czasem coraz starszy czytelnik. I w każdym wieku będzie stanowić wspaniały początek do rozmowy o tym, co tak ważne: o kręgu życia.</w:t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</w:p>
    <w:p w:rsidR="005A588A" w:rsidRDefault="005A588A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</w:p>
    <w:p w:rsidR="005A588A" w:rsidRDefault="005A588A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noProof/>
        </w:rPr>
        <w:drawing>
          <wp:inline distT="0" distB="0" distL="0" distR="0">
            <wp:extent cx="2065123" cy="2445789"/>
            <wp:effectExtent l="19050" t="0" r="0" b="0"/>
            <wp:docPr id="4" name="Obraz 4" descr="https://calapolskaczytadzieciom.pl/wp-content/uploads/2020/03/Siedmiu-wspanialych-Roksana-Jedrzejewska-Wro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lapolskaczytadzieciom.pl/wp-content/uploads/2020/03/Siedmiu-wspanialych-Roksana-Jedrzejewska-Wro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26" cy="24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rStyle w:val="Pogrubienie"/>
          <w:rFonts w:ascii="&amp;quot" w:hAnsi="&amp;quot"/>
          <w:color w:val="212529"/>
          <w:sz w:val="23"/>
          <w:szCs w:val="23"/>
        </w:rPr>
        <w:t>Pozamieniały nam się role i postacie, czasem trudno rozpoznać, kto jest kim</w:t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rFonts w:ascii="&amp;quot" w:hAnsi="&amp;quot"/>
          <w:color w:val="212529"/>
          <w:sz w:val="23"/>
          <w:szCs w:val="23"/>
        </w:rPr>
        <w:t xml:space="preserve">Kto z nas nie zna historii Kopciuszka, śpiącej królewny czy trzech świnek? A jednak… Autorka opowiada je nam na nowo, dzięki czemu odnajdzie się w nich wiele współczesnych dzieci. Choćby tych, które wychowywane są na </w:t>
      </w:r>
      <w:proofErr w:type="spellStart"/>
      <w:r>
        <w:rPr>
          <w:rFonts w:ascii="&amp;quot" w:hAnsi="&amp;quot"/>
          <w:color w:val="212529"/>
          <w:sz w:val="23"/>
          <w:szCs w:val="23"/>
        </w:rPr>
        <w:t>celebrytów</w:t>
      </w:r>
      <w:proofErr w:type="spellEnd"/>
      <w:r>
        <w:rPr>
          <w:rFonts w:ascii="&amp;quot" w:hAnsi="&amp;quot"/>
          <w:color w:val="212529"/>
          <w:sz w:val="23"/>
          <w:szCs w:val="23"/>
        </w:rPr>
        <w:t xml:space="preserve"> (</w:t>
      </w:r>
      <w:r>
        <w:rPr>
          <w:rStyle w:val="Uwydatnienie"/>
          <w:rFonts w:ascii="&amp;quot" w:hAnsi="&amp;quot"/>
          <w:color w:val="212529"/>
          <w:sz w:val="23"/>
          <w:szCs w:val="23"/>
        </w:rPr>
        <w:t>Wieża sławy</w:t>
      </w:r>
      <w:r>
        <w:rPr>
          <w:rFonts w:ascii="&amp;quot" w:hAnsi="&amp;quot"/>
          <w:color w:val="212529"/>
          <w:sz w:val="23"/>
          <w:szCs w:val="23"/>
        </w:rPr>
        <w:t>) czy żyją z poczuciem winy, bo nie pasują do ideału (</w:t>
      </w:r>
      <w:r>
        <w:rPr>
          <w:rStyle w:val="Uwydatnienie"/>
          <w:rFonts w:ascii="&amp;quot" w:hAnsi="&amp;quot"/>
          <w:color w:val="212529"/>
          <w:sz w:val="23"/>
          <w:szCs w:val="23"/>
        </w:rPr>
        <w:t>Nie dość blada królewna</w:t>
      </w:r>
      <w:r>
        <w:rPr>
          <w:rFonts w:ascii="&amp;quot" w:hAnsi="&amp;quot"/>
          <w:color w:val="212529"/>
          <w:sz w:val="23"/>
          <w:szCs w:val="23"/>
        </w:rPr>
        <w:t xml:space="preserve">). Dzieci ranionych przez rozwodzących się </w:t>
      </w:r>
      <w:r>
        <w:rPr>
          <w:rFonts w:ascii="&amp;quot" w:hAnsi="&amp;quot"/>
          <w:color w:val="212529"/>
          <w:sz w:val="23"/>
          <w:szCs w:val="23"/>
        </w:rPr>
        <w:lastRenderedPageBreak/>
        <w:t>rodziców, które może pozazdroszczą Oliwerowi Żabickiemu jego daru zamieniania skłóconych rodziców w… milczące żaby. Zapewne też niejedna mama rozpozna się w roli Kapciuszka (brzmi prawie jak Kopciuszek).</w:t>
      </w:r>
    </w:p>
    <w:p w:rsidR="001715AB" w:rsidRDefault="001715AB" w:rsidP="001715AB">
      <w:pPr>
        <w:pStyle w:val="NormalnyWeb"/>
        <w:spacing w:before="0" w:beforeAutospacing="0" w:after="208" w:afterAutospacing="0"/>
        <w:rPr>
          <w:rFonts w:ascii="&amp;quot" w:hAnsi="&amp;quot"/>
          <w:color w:val="212529"/>
          <w:sz w:val="23"/>
          <w:szCs w:val="23"/>
        </w:rPr>
      </w:pPr>
      <w:r>
        <w:rPr>
          <w:rFonts w:ascii="&amp;quot" w:hAnsi="&amp;quot"/>
          <w:color w:val="212529"/>
          <w:sz w:val="23"/>
          <w:szCs w:val="23"/>
        </w:rPr>
        <w:t xml:space="preserve">Dla niejednego zastraszonego koziołka bajka o </w:t>
      </w:r>
      <w:r>
        <w:rPr>
          <w:rStyle w:val="Uwydatnienie"/>
          <w:rFonts w:ascii="&amp;quot" w:hAnsi="&amp;quot"/>
          <w:color w:val="212529"/>
          <w:sz w:val="23"/>
          <w:szCs w:val="23"/>
        </w:rPr>
        <w:t>Siedmiu Wspaniałych</w:t>
      </w:r>
      <w:r>
        <w:rPr>
          <w:rFonts w:ascii="&amp;quot" w:hAnsi="&amp;quot"/>
          <w:color w:val="212529"/>
          <w:sz w:val="23"/>
          <w:szCs w:val="23"/>
        </w:rPr>
        <w:t xml:space="preserve"> będzie światełkiem w tunelu. Podpowie też, jakim cudem pierwszaki mogą pokonać bezwzględnego Wilka z </w:t>
      </w:r>
      <w:proofErr w:type="spellStart"/>
      <w:r>
        <w:rPr>
          <w:rFonts w:ascii="&amp;quot" w:hAnsi="&amp;quot"/>
          <w:color w:val="212529"/>
          <w:sz w:val="23"/>
          <w:szCs w:val="23"/>
        </w:rPr>
        <w:t>VIb</w:t>
      </w:r>
      <w:proofErr w:type="spellEnd"/>
      <w:r>
        <w:rPr>
          <w:rFonts w:ascii="&amp;quot" w:hAnsi="&amp;quot"/>
          <w:color w:val="212529"/>
          <w:sz w:val="23"/>
          <w:szCs w:val="23"/>
        </w:rPr>
        <w:t xml:space="preserve"> (i dlaczego stał się on aż tak zły). Wielu małym czytelnikom te „nie całkiem nieznane historie” dodadzą siły i wiary w siebie, a poczucie humoru pisarki urzeknie wszystkich.</w:t>
      </w:r>
    </w:p>
    <w:p w:rsidR="001715AB" w:rsidRDefault="001715AB" w:rsidP="001715AB">
      <w:pPr>
        <w:pStyle w:val="NormalnyWeb"/>
        <w:spacing w:before="0" w:beforeAutospacing="0" w:after="208" w:afterAutospacing="0"/>
        <w:jc w:val="right"/>
        <w:rPr>
          <w:rFonts w:ascii="&amp;quot" w:hAnsi="&amp;quot"/>
          <w:color w:val="212529"/>
          <w:sz w:val="23"/>
          <w:szCs w:val="23"/>
        </w:rPr>
      </w:pPr>
      <w:r>
        <w:rPr>
          <w:rFonts w:ascii="&amp;quot" w:hAnsi="&amp;quot"/>
          <w:color w:val="212529"/>
          <w:sz w:val="23"/>
          <w:szCs w:val="23"/>
        </w:rPr>
        <w:t>Dorota Koman</w:t>
      </w:r>
    </w:p>
    <w:p w:rsidR="001715AB" w:rsidRPr="001715AB" w:rsidRDefault="001715AB" w:rsidP="001715AB">
      <w:pPr>
        <w:spacing w:before="130" w:after="130" w:line="337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2"/>
          <w:szCs w:val="42"/>
          <w:lang w:eastAsia="pl-PL"/>
        </w:rPr>
      </w:pPr>
      <w:r w:rsidRPr="001715AB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2"/>
          <w:szCs w:val="42"/>
          <w:lang w:eastAsia="pl-PL"/>
        </w:rPr>
        <w:t>Pan Flat nadchodzi</w:t>
      </w:r>
    </w:p>
    <w:p w:rsidR="001715AB" w:rsidRPr="001715AB" w:rsidRDefault="001715AB" w:rsidP="001715AB">
      <w:pPr>
        <w:spacing w:before="130" w:after="130" w:line="337" w:lineRule="atLeast"/>
        <w:rPr>
          <w:rFonts w:ascii="Basic Gothic Pro" w:eastAsia="Times New Roman" w:hAnsi="Basic Gothic Pro" w:cs="Times New Roman"/>
          <w:color w:val="212529"/>
          <w:sz w:val="26"/>
          <w:szCs w:val="26"/>
          <w:lang w:eastAsia="pl-PL"/>
        </w:rPr>
      </w:pPr>
      <w:r w:rsidRPr="001715AB">
        <w:rPr>
          <w:rFonts w:ascii="Basic Gothic Pro" w:eastAsia="Times New Roman" w:hAnsi="Basic Gothic Pro" w:cs="Times New Roman"/>
          <w:color w:val="212529"/>
          <w:sz w:val="26"/>
          <w:szCs w:val="26"/>
          <w:lang w:eastAsia="pl-PL"/>
        </w:rPr>
        <w:t>seria: Gutek i potwory</w:t>
      </w:r>
    </w:p>
    <w:p w:rsidR="001715AB" w:rsidRPr="001715AB" w:rsidRDefault="001715AB" w:rsidP="00DC4B7E">
      <w:pPr>
        <w:spacing w:before="208" w:after="208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sz w:val="21"/>
          <w:szCs w:val="21"/>
          <w:lang w:eastAsia="pl-PL"/>
        </w:rPr>
        <w:drawing>
          <wp:inline distT="0" distB="0" distL="0" distR="0">
            <wp:extent cx="2831242" cy="4065968"/>
            <wp:effectExtent l="19050" t="0" r="7208" b="0"/>
            <wp:docPr id="8" name="Obraz 8" descr="Pan Flat nadchodz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 Flat nadchodz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13" cy="406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AB" w:rsidRPr="001715AB" w:rsidRDefault="001715AB" w:rsidP="001715AB">
      <w:pPr>
        <w:spacing w:after="208" w:line="240" w:lineRule="auto"/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</w:pPr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 xml:space="preserve">Pierwszy tom serii powieści graficznych „Gutek i potwory” autorstwa: </w:t>
      </w:r>
      <w:proofErr w:type="spellStart"/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>Jaume</w:t>
      </w:r>
      <w:proofErr w:type="spellEnd"/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 xml:space="preserve"> </w:t>
      </w:r>
      <w:proofErr w:type="spellStart"/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>Copons</w:t>
      </w:r>
      <w:proofErr w:type="spellEnd"/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 xml:space="preserve"> (tekst) i  Liliana Fortuny (ilustracje).</w:t>
      </w:r>
    </w:p>
    <w:p w:rsidR="001715AB" w:rsidRPr="001715AB" w:rsidRDefault="001715AB" w:rsidP="001715AB">
      <w:pPr>
        <w:spacing w:after="208" w:line="240" w:lineRule="auto"/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</w:pPr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 xml:space="preserve">Czy książka może zachęcić do czytania książek? Owszem – i to w bardzo niebanalny sposób. Historia dziewięciolatka, który jak każde dziecko w tym wieku nie lubi sprzątać pokoju i ma bujną wyobraźnię, jest najlepszy tego dowodem. Tytułowy bohater, Gutek przyjaźni się bowiem z… potworami, które opowiadają mu przygody znanych książkowych postaci – Piotrusia Pana, </w:t>
      </w:r>
      <w:proofErr w:type="spellStart"/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>Asterixa</w:t>
      </w:r>
      <w:proofErr w:type="spellEnd"/>
      <w:r w:rsidRPr="001715AB">
        <w:rPr>
          <w:rFonts w:ascii="&amp;quot" w:eastAsia="Times New Roman" w:hAnsi="&amp;quot" w:cs="Times New Roman"/>
          <w:color w:val="212529"/>
          <w:sz w:val="23"/>
          <w:szCs w:val="23"/>
          <w:lang w:eastAsia="pl-PL"/>
        </w:rPr>
        <w:t xml:space="preserve"> i Tomka Sawyera – i tym samym wciągają go w czytanie. Sami przeczytajcie, bo warto!</w:t>
      </w:r>
    </w:p>
    <w:p w:rsidR="009C7F21" w:rsidRDefault="009C7F21"/>
    <w:sectPr w:rsidR="009C7F21" w:rsidSect="00DC4B7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Display 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ic Gothic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715AB"/>
    <w:rsid w:val="001715AB"/>
    <w:rsid w:val="005A588A"/>
    <w:rsid w:val="009C7F21"/>
    <w:rsid w:val="00D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21"/>
  </w:style>
  <w:style w:type="paragraph" w:styleId="Nagwek1">
    <w:name w:val="heading 1"/>
    <w:basedOn w:val="Normalny"/>
    <w:link w:val="Nagwek1Znak"/>
    <w:uiPriority w:val="9"/>
    <w:qFormat/>
    <w:rsid w:val="00171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5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715A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715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oduct-subtitle">
    <w:name w:val="product-subtitle"/>
    <w:basedOn w:val="Normalny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autor">
    <w:name w:val="product-autor"/>
    <w:basedOn w:val="Normalny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">
    <w:name w:val="autor"/>
    <w:basedOn w:val="Domylnaczcionkaakapitu"/>
    <w:rsid w:val="001715AB"/>
  </w:style>
  <w:style w:type="character" w:styleId="Hipercze">
    <w:name w:val="Hyperlink"/>
    <w:basedOn w:val="Domylnaczcionkaakapitu"/>
    <w:uiPriority w:val="99"/>
    <w:semiHidden/>
    <w:unhideWhenUsed/>
    <w:rsid w:val="00171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11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alapolskaczytadzieciom.pl/wp-content/uploads/2019/10/nadchodzi_pan_fla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alapolskaczytadzieciom.pl/wp-content/uploads/2020/03/a_ja_czekam_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2020-04-24T09:01:00Z</dcterms:created>
  <dcterms:modified xsi:type="dcterms:W3CDTF">2020-04-24T09:20:00Z</dcterms:modified>
</cp:coreProperties>
</file>